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F724D" w14:textId="77777777" w:rsidR="00501E14" w:rsidRPr="00501E14" w:rsidRDefault="00501E14" w:rsidP="00501E14">
      <w:pPr>
        <w:jc w:val="center"/>
        <w:rPr>
          <w:rFonts w:ascii="Arial" w:hAnsi="Arial" w:cs="Arial"/>
          <w:b/>
          <w:sz w:val="28"/>
          <w:szCs w:val="28"/>
        </w:rPr>
      </w:pPr>
      <w:r w:rsidRPr="00501E14">
        <w:rPr>
          <w:rFonts w:ascii="Arial" w:hAnsi="Arial" w:cs="Arial"/>
          <w:b/>
          <w:sz w:val="28"/>
          <w:szCs w:val="28"/>
        </w:rPr>
        <w:t>New International Partnership Established to Increase the Use of Energy Storage in Developing Countries</w:t>
      </w:r>
    </w:p>
    <w:p w14:paraId="7C20D2E7" w14:textId="77777777" w:rsidR="00501E14" w:rsidRDefault="00501E14" w:rsidP="00501E14">
      <w:pPr>
        <w:pStyle w:val="NoSpacing"/>
        <w:jc w:val="center"/>
        <w:rPr>
          <w:rFonts w:ascii="Arial" w:hAnsi="Arial" w:cs="Arial"/>
          <w:i/>
          <w:color w:val="333333"/>
          <w:sz w:val="20"/>
          <w:szCs w:val="20"/>
          <w:lang w:val="en"/>
        </w:rPr>
      </w:pPr>
    </w:p>
    <w:p w14:paraId="1247ED71" w14:textId="77777777" w:rsidR="00501E14" w:rsidRPr="00501E14" w:rsidRDefault="00501E14" w:rsidP="00501E14">
      <w:pPr>
        <w:pStyle w:val="NoSpacing"/>
        <w:jc w:val="center"/>
        <w:rPr>
          <w:rFonts w:ascii="Arial" w:hAnsi="Arial" w:cs="Arial"/>
          <w:i/>
          <w:color w:val="333333"/>
          <w:sz w:val="20"/>
          <w:szCs w:val="20"/>
          <w:lang w:val="en"/>
        </w:rPr>
      </w:pPr>
      <w:r w:rsidRPr="00501E14">
        <w:rPr>
          <w:rFonts w:ascii="Arial" w:hAnsi="Arial" w:cs="Arial"/>
          <w:i/>
          <w:color w:val="333333"/>
          <w:sz w:val="20"/>
          <w:szCs w:val="20"/>
          <w:lang w:val="en"/>
        </w:rPr>
        <w:t>A global partnership convened by the World Bank Group to foster international cooperation to adapt and develop energy storage solutions for developing countries</w:t>
      </w:r>
    </w:p>
    <w:p w14:paraId="6C6CD5E6" w14:textId="77777777" w:rsidR="00501E14" w:rsidRPr="00501E14" w:rsidRDefault="00501E14" w:rsidP="00501E14">
      <w:pPr>
        <w:rPr>
          <w:rFonts w:ascii="Arial" w:hAnsi="Arial" w:cs="Arial"/>
          <w:b/>
          <w:sz w:val="20"/>
          <w:szCs w:val="20"/>
        </w:rPr>
      </w:pPr>
    </w:p>
    <w:p w14:paraId="2656CE32" w14:textId="28393F55" w:rsidR="00501E14" w:rsidRPr="00501E14" w:rsidRDefault="00501E14" w:rsidP="00501E14">
      <w:pPr>
        <w:spacing w:after="0" w:line="276" w:lineRule="auto"/>
        <w:rPr>
          <w:rFonts w:ascii="Arial" w:hAnsi="Arial" w:cs="Arial"/>
          <w:color w:val="333333"/>
          <w:sz w:val="20"/>
          <w:szCs w:val="20"/>
          <w:lang w:val="en"/>
        </w:rPr>
      </w:pPr>
      <w:r w:rsidRPr="00501E14">
        <w:rPr>
          <w:rFonts w:ascii="Arial" w:hAnsi="Arial" w:cs="Arial"/>
          <w:sz w:val="20"/>
          <w:szCs w:val="20"/>
        </w:rPr>
        <w:t>VANCOUVER, May 28, 2019 – On the occasion of the 10</w:t>
      </w:r>
      <w:r w:rsidRPr="00501E14">
        <w:rPr>
          <w:rFonts w:ascii="Arial" w:hAnsi="Arial" w:cs="Arial"/>
          <w:sz w:val="20"/>
          <w:szCs w:val="20"/>
          <w:vertAlign w:val="superscript"/>
        </w:rPr>
        <w:t>th</w:t>
      </w:r>
      <w:r w:rsidRPr="00501E14">
        <w:rPr>
          <w:rFonts w:ascii="Arial" w:hAnsi="Arial" w:cs="Arial"/>
          <w:sz w:val="20"/>
          <w:szCs w:val="20"/>
        </w:rPr>
        <w:t xml:space="preserve"> Clean Energy Ministerial and 4</w:t>
      </w:r>
      <w:r w:rsidRPr="00501E14">
        <w:rPr>
          <w:rFonts w:ascii="Arial" w:hAnsi="Arial" w:cs="Arial"/>
          <w:sz w:val="20"/>
          <w:szCs w:val="20"/>
          <w:vertAlign w:val="superscript"/>
        </w:rPr>
        <w:t>th</w:t>
      </w:r>
      <w:r w:rsidRPr="00501E14">
        <w:rPr>
          <w:rFonts w:ascii="Arial" w:hAnsi="Arial" w:cs="Arial"/>
          <w:sz w:val="20"/>
          <w:szCs w:val="20"/>
        </w:rPr>
        <w:t xml:space="preserve"> Mission Innovation Ministerial, a new international partnership has been established to help expand the </w:t>
      </w:r>
      <w:r w:rsidR="003D6D64">
        <w:rPr>
          <w:rFonts w:ascii="Arial" w:hAnsi="Arial" w:cs="Arial"/>
          <w:sz w:val="20"/>
          <w:szCs w:val="20"/>
        </w:rPr>
        <w:t>deployment</w:t>
      </w:r>
      <w:r w:rsidRPr="00501E14">
        <w:rPr>
          <w:rFonts w:ascii="Arial" w:hAnsi="Arial" w:cs="Arial"/>
          <w:sz w:val="20"/>
          <w:szCs w:val="20"/>
        </w:rPr>
        <w:t xml:space="preserve"> of energy storage and bring new technologies to developing countries’ power systems. The Energy Storage Partnership (ESP) comprises the World Bank Group </w:t>
      </w:r>
      <w:r w:rsidRPr="001F5E95">
        <w:rPr>
          <w:rFonts w:ascii="Arial" w:hAnsi="Arial" w:cs="Arial"/>
          <w:sz w:val="20"/>
          <w:szCs w:val="20"/>
        </w:rPr>
        <w:t xml:space="preserve">and </w:t>
      </w:r>
      <w:r w:rsidR="009B6079" w:rsidRPr="001F5E95">
        <w:rPr>
          <w:rFonts w:ascii="Arial" w:hAnsi="Arial" w:cs="Arial"/>
          <w:sz w:val="20"/>
          <w:szCs w:val="20"/>
        </w:rPr>
        <w:t>29</w:t>
      </w:r>
      <w:r w:rsidRPr="001F5E95">
        <w:rPr>
          <w:rFonts w:ascii="Arial" w:hAnsi="Arial" w:cs="Arial"/>
          <w:sz w:val="20"/>
          <w:szCs w:val="20"/>
        </w:rPr>
        <w:t xml:space="preserve"> organizations</w:t>
      </w:r>
      <w:r w:rsidRPr="00501E14">
        <w:rPr>
          <w:rFonts w:ascii="Arial" w:hAnsi="Arial" w:cs="Arial"/>
          <w:color w:val="333333"/>
          <w:sz w:val="20"/>
          <w:szCs w:val="20"/>
          <w:lang w:val="en"/>
        </w:rPr>
        <w:t xml:space="preserve"> working </w:t>
      </w:r>
      <w:r w:rsidR="003D6D64">
        <w:rPr>
          <w:rFonts w:ascii="Arial" w:hAnsi="Arial" w:cs="Arial"/>
          <w:color w:val="333333"/>
          <w:sz w:val="20"/>
          <w:szCs w:val="20"/>
          <w:lang w:val="en"/>
        </w:rPr>
        <w:t>together</w:t>
      </w:r>
      <w:r w:rsidRPr="00501E14">
        <w:rPr>
          <w:rFonts w:ascii="Arial" w:hAnsi="Arial" w:cs="Arial"/>
          <w:color w:val="333333"/>
          <w:sz w:val="20"/>
          <w:szCs w:val="20"/>
          <w:lang w:val="en"/>
        </w:rPr>
        <w:t xml:space="preserve"> to help develop energy storage solutions tailored to the needs of developing countries. </w:t>
      </w:r>
    </w:p>
    <w:p w14:paraId="6B310E88" w14:textId="507D6021" w:rsidR="00501E14" w:rsidRPr="00501E14" w:rsidRDefault="00501E14" w:rsidP="00501E14">
      <w:pPr>
        <w:spacing w:before="240" w:after="0"/>
        <w:rPr>
          <w:rFonts w:ascii="Arial" w:hAnsi="Arial" w:cs="Arial"/>
          <w:sz w:val="20"/>
          <w:szCs w:val="20"/>
          <w:lang w:val="en"/>
        </w:rPr>
      </w:pPr>
      <w:r w:rsidRPr="00501E14">
        <w:rPr>
          <w:rFonts w:ascii="Arial" w:hAnsi="Arial" w:cs="Arial"/>
          <w:sz w:val="20"/>
          <w:szCs w:val="20"/>
          <w:lang w:val="en"/>
        </w:rPr>
        <w:t xml:space="preserve">Energy transitions are underway </w:t>
      </w:r>
      <w:r w:rsidR="003D1FE3">
        <w:rPr>
          <w:rFonts w:ascii="Arial" w:hAnsi="Arial" w:cs="Arial"/>
          <w:sz w:val="20"/>
          <w:szCs w:val="20"/>
          <w:lang w:val="en"/>
        </w:rPr>
        <w:t xml:space="preserve">in many countries </w:t>
      </w:r>
      <w:r w:rsidRPr="00501E14">
        <w:rPr>
          <w:rFonts w:ascii="Arial" w:hAnsi="Arial" w:cs="Arial"/>
          <w:sz w:val="20"/>
          <w:szCs w:val="20"/>
          <w:lang w:val="en"/>
        </w:rPr>
        <w:t xml:space="preserve">with a significant increase in the use of wind and solar power. To integrate these variable renewable resources into grids at the scale necessary to mitigate climate change, energy storage will be key. The increased use of wind and solar power with storage can help decarbonize power systems; expand energy access; improve grid reliability; and increase energy systems’ resilience. </w:t>
      </w:r>
    </w:p>
    <w:p w14:paraId="5407645A" w14:textId="77777777" w:rsidR="00501E14" w:rsidRPr="00501E14" w:rsidRDefault="00501E14" w:rsidP="00501E14">
      <w:pPr>
        <w:spacing w:after="0"/>
        <w:rPr>
          <w:rFonts w:ascii="Arial" w:hAnsi="Arial" w:cs="Arial"/>
          <w:sz w:val="20"/>
          <w:szCs w:val="20"/>
        </w:rPr>
      </w:pPr>
    </w:p>
    <w:p w14:paraId="3AA1AEBB" w14:textId="123D621F" w:rsidR="00501E14" w:rsidRPr="00501E14" w:rsidRDefault="00501E14" w:rsidP="00501E14">
      <w:pPr>
        <w:spacing w:after="0"/>
        <w:rPr>
          <w:rFonts w:ascii="Arial" w:hAnsi="Arial" w:cs="Arial"/>
          <w:sz w:val="20"/>
          <w:szCs w:val="20"/>
        </w:rPr>
      </w:pPr>
      <w:r w:rsidRPr="00501E14">
        <w:rPr>
          <w:rFonts w:ascii="Arial" w:hAnsi="Arial" w:cs="Arial"/>
          <w:sz w:val="20"/>
          <w:szCs w:val="20"/>
        </w:rPr>
        <w:t>The requirements of developing countries’ grids are not yet fully considered in the current energy storage market – even though these countries may have the largest potential for battery deployment.</w:t>
      </w:r>
      <w:r w:rsidR="003D1FE3">
        <w:rPr>
          <w:rFonts w:ascii="Arial" w:hAnsi="Arial" w:cs="Arial"/>
          <w:sz w:val="20"/>
          <w:szCs w:val="20"/>
        </w:rPr>
        <w:t xml:space="preserve"> T</w:t>
      </w:r>
      <w:r w:rsidRPr="00501E14">
        <w:rPr>
          <w:rFonts w:ascii="Arial" w:hAnsi="Arial" w:cs="Arial"/>
          <w:sz w:val="20"/>
          <w:szCs w:val="20"/>
        </w:rPr>
        <w:t xml:space="preserve">he current battery market is driven by the electric vehicle industry and most mainstream technologies cannot provide long duration storage or withstand harsh climatic conditions and low operation and maintenance capacity. </w:t>
      </w:r>
    </w:p>
    <w:p w14:paraId="67B91432" w14:textId="77777777" w:rsidR="00501E14" w:rsidRPr="00501E14" w:rsidRDefault="00501E14" w:rsidP="00501E14">
      <w:pPr>
        <w:spacing w:after="0"/>
        <w:rPr>
          <w:rFonts w:ascii="Arial" w:hAnsi="Arial" w:cs="Arial"/>
          <w:sz w:val="20"/>
          <w:szCs w:val="20"/>
        </w:rPr>
      </w:pPr>
    </w:p>
    <w:p w14:paraId="4248C151" w14:textId="77777777" w:rsidR="00501E14" w:rsidRPr="00501E14" w:rsidRDefault="00501E14" w:rsidP="00501E14">
      <w:pPr>
        <w:spacing w:after="0"/>
        <w:rPr>
          <w:rFonts w:ascii="Arial" w:hAnsi="Arial" w:cs="Arial"/>
          <w:sz w:val="20"/>
          <w:szCs w:val="20"/>
        </w:rPr>
      </w:pPr>
      <w:r w:rsidRPr="00501E14">
        <w:rPr>
          <w:rFonts w:ascii="Arial" w:hAnsi="Arial" w:cs="Arial"/>
          <w:sz w:val="20"/>
          <w:szCs w:val="20"/>
        </w:rPr>
        <w:t xml:space="preserve">There is a clear need to catalyze a new market for batteries and other energy storage solutions that are suitable for electricity grids for a variety of grid and off-grid applications and deployable on a large scale. </w:t>
      </w:r>
      <w:r w:rsidRPr="00501E14">
        <w:rPr>
          <w:rFonts w:ascii="Arial" w:hAnsi="Arial" w:cs="Arial"/>
          <w:sz w:val="20"/>
          <w:szCs w:val="20"/>
          <w:lang w:val="en"/>
        </w:rPr>
        <w:t xml:space="preserve">To enable the rapid uptake of variable renewable energy in developing countries, the </w:t>
      </w:r>
      <w:r w:rsidRPr="00501E14">
        <w:rPr>
          <w:rFonts w:ascii="Arial" w:hAnsi="Arial" w:cs="Arial"/>
          <w:sz w:val="20"/>
          <w:szCs w:val="20"/>
        </w:rPr>
        <w:t xml:space="preserve">WBG is convening an </w:t>
      </w:r>
      <w:hyperlink r:id="rId9" w:history="1">
        <w:r w:rsidRPr="00501E14">
          <w:rPr>
            <w:rStyle w:val="Hyperlink"/>
            <w:rFonts w:ascii="Arial" w:hAnsi="Arial" w:cs="Arial"/>
            <w:b/>
            <w:sz w:val="20"/>
            <w:szCs w:val="20"/>
          </w:rPr>
          <w:t>Energy Storage Partnership (ESP)</w:t>
        </w:r>
      </w:hyperlink>
      <w:r w:rsidRPr="00501E14">
        <w:rPr>
          <w:rFonts w:ascii="Arial" w:hAnsi="Arial" w:cs="Arial"/>
          <w:sz w:val="20"/>
          <w:szCs w:val="20"/>
        </w:rPr>
        <w:t xml:space="preserve"> that will foster international cooperation on:</w:t>
      </w:r>
    </w:p>
    <w:p w14:paraId="7C2D23A1" w14:textId="77777777" w:rsidR="00501E14" w:rsidRPr="00501E14" w:rsidRDefault="00501E14" w:rsidP="00501E14">
      <w:pPr>
        <w:spacing w:after="0"/>
        <w:rPr>
          <w:rFonts w:ascii="Arial" w:hAnsi="Arial" w:cs="Arial"/>
          <w:sz w:val="20"/>
          <w:szCs w:val="20"/>
        </w:rPr>
      </w:pPr>
    </w:p>
    <w:p w14:paraId="6ABCC435" w14:textId="45A79185" w:rsidR="00501E14" w:rsidRPr="003D1FE3" w:rsidRDefault="00501E14" w:rsidP="00501E14">
      <w:pPr>
        <w:pStyle w:val="ListParagraph"/>
        <w:numPr>
          <w:ilvl w:val="0"/>
          <w:numId w:val="1"/>
        </w:numPr>
        <w:spacing w:line="256" w:lineRule="auto"/>
        <w:rPr>
          <w:rFonts w:ascii="Arial" w:hAnsi="Arial" w:cs="Arial"/>
          <w:sz w:val="20"/>
          <w:szCs w:val="20"/>
        </w:rPr>
      </w:pPr>
      <w:r w:rsidRPr="003D1FE3">
        <w:rPr>
          <w:rFonts w:ascii="Arial" w:hAnsi="Arial" w:cs="Arial"/>
          <w:sz w:val="20"/>
          <w:szCs w:val="20"/>
        </w:rPr>
        <w:t>Technology Research Development &amp; Demonstration, Applications</w:t>
      </w:r>
    </w:p>
    <w:p w14:paraId="66C014AC" w14:textId="190E46B3" w:rsidR="00501E14" w:rsidRPr="003D1FE3" w:rsidRDefault="00501E14" w:rsidP="00501E14">
      <w:pPr>
        <w:pStyle w:val="ListParagraph"/>
        <w:numPr>
          <w:ilvl w:val="0"/>
          <w:numId w:val="1"/>
        </w:numPr>
        <w:spacing w:line="256" w:lineRule="auto"/>
        <w:rPr>
          <w:rFonts w:ascii="Arial" w:hAnsi="Arial" w:cs="Arial"/>
          <w:sz w:val="20"/>
          <w:szCs w:val="20"/>
        </w:rPr>
      </w:pPr>
      <w:r w:rsidRPr="003D1FE3">
        <w:rPr>
          <w:rFonts w:ascii="Arial" w:hAnsi="Arial" w:cs="Arial"/>
          <w:sz w:val="20"/>
          <w:szCs w:val="20"/>
        </w:rPr>
        <w:t>System Integration and Planning Tools</w:t>
      </w:r>
    </w:p>
    <w:p w14:paraId="1C07AF3B" w14:textId="3A313BE8" w:rsidR="00501E14" w:rsidRPr="003D1FE3" w:rsidRDefault="00501E14" w:rsidP="00501E14">
      <w:pPr>
        <w:pStyle w:val="ListParagraph"/>
        <w:numPr>
          <w:ilvl w:val="0"/>
          <w:numId w:val="1"/>
        </w:numPr>
        <w:spacing w:after="0" w:line="256" w:lineRule="auto"/>
        <w:rPr>
          <w:rFonts w:ascii="Arial" w:hAnsi="Arial" w:cs="Arial"/>
          <w:sz w:val="20"/>
          <w:szCs w:val="20"/>
        </w:rPr>
      </w:pPr>
      <w:r w:rsidRPr="003D1FE3">
        <w:rPr>
          <w:rFonts w:ascii="Arial" w:hAnsi="Arial" w:cs="Arial"/>
          <w:sz w:val="20"/>
          <w:szCs w:val="20"/>
        </w:rPr>
        <w:t xml:space="preserve">Policies, Regulations and Procurement </w:t>
      </w:r>
    </w:p>
    <w:p w14:paraId="210F2F1F" w14:textId="77777777" w:rsidR="003D1FE3" w:rsidRPr="003D1FE3" w:rsidRDefault="003D1FE3" w:rsidP="003D1FE3">
      <w:pPr>
        <w:pStyle w:val="ListParagraph"/>
        <w:numPr>
          <w:ilvl w:val="0"/>
          <w:numId w:val="1"/>
        </w:numPr>
        <w:rPr>
          <w:rFonts w:ascii="Arial" w:hAnsi="Arial" w:cs="Arial"/>
          <w:sz w:val="20"/>
          <w:szCs w:val="20"/>
        </w:rPr>
      </w:pPr>
      <w:r w:rsidRPr="003D1FE3">
        <w:rPr>
          <w:rFonts w:ascii="Arial" w:hAnsi="Arial" w:cs="Arial"/>
          <w:sz w:val="20"/>
          <w:szCs w:val="20"/>
        </w:rPr>
        <w:t>Enabling Systems for Management and Sustainability</w:t>
      </w:r>
    </w:p>
    <w:p w14:paraId="6DDA318A" w14:textId="77777777" w:rsidR="00501E14" w:rsidRPr="00501E14" w:rsidRDefault="00501E14" w:rsidP="00501E14">
      <w:pPr>
        <w:pStyle w:val="ListParagraph"/>
        <w:spacing w:after="0" w:line="256" w:lineRule="auto"/>
        <w:ind w:left="1440"/>
        <w:rPr>
          <w:rFonts w:ascii="Arial" w:hAnsi="Arial" w:cs="Arial"/>
          <w:sz w:val="20"/>
          <w:szCs w:val="20"/>
        </w:rPr>
      </w:pPr>
    </w:p>
    <w:p w14:paraId="54473B33" w14:textId="39E00892" w:rsidR="00501E14" w:rsidRPr="00501E14" w:rsidRDefault="00501E14" w:rsidP="00501E14">
      <w:pPr>
        <w:spacing w:after="0"/>
        <w:rPr>
          <w:rFonts w:ascii="Arial" w:hAnsi="Arial" w:cs="Arial"/>
          <w:sz w:val="20"/>
          <w:szCs w:val="20"/>
        </w:rPr>
      </w:pPr>
      <w:r w:rsidRPr="00501E14">
        <w:rPr>
          <w:rFonts w:ascii="Arial" w:hAnsi="Arial" w:cs="Arial"/>
          <w:sz w:val="20"/>
          <w:szCs w:val="20"/>
        </w:rPr>
        <w:t>By connecting stakeholders and sharing international experiences in deploying energy storage solutions, the ESP will help bring new technological and regulatory solutions to developing countries, as well as help develop new business models that leverage the full range of services that storage can provide. The ESP will take a holistic, technology-neutral approach by including all forms of energy storage, including batteries.</w:t>
      </w:r>
      <w:r w:rsidR="003D1FE3">
        <w:rPr>
          <w:rFonts w:ascii="Arial" w:hAnsi="Arial" w:cs="Arial"/>
          <w:sz w:val="20"/>
          <w:szCs w:val="20"/>
        </w:rPr>
        <w:t xml:space="preserve"> T</w:t>
      </w:r>
      <w:r w:rsidRPr="00501E14">
        <w:rPr>
          <w:rFonts w:ascii="Arial" w:hAnsi="Arial" w:cs="Arial"/>
          <w:sz w:val="20"/>
          <w:szCs w:val="20"/>
        </w:rPr>
        <w:t>he ESP will help expand the global market for energy storage, leading to technology improvements and accelerating cost reductions over time.</w:t>
      </w:r>
    </w:p>
    <w:p w14:paraId="4BB6EC78" w14:textId="77777777" w:rsidR="00501E14" w:rsidRPr="00501E14" w:rsidRDefault="00501E14" w:rsidP="00501E14">
      <w:pPr>
        <w:spacing w:after="0"/>
        <w:rPr>
          <w:rFonts w:ascii="Arial" w:hAnsi="Arial" w:cs="Arial"/>
          <w:sz w:val="20"/>
          <w:szCs w:val="20"/>
        </w:rPr>
      </w:pPr>
    </w:p>
    <w:p w14:paraId="439A825F" w14:textId="77777777" w:rsidR="00501E14" w:rsidRPr="00501E14" w:rsidRDefault="00501E14" w:rsidP="00501E14">
      <w:pPr>
        <w:spacing w:after="0"/>
        <w:rPr>
          <w:rFonts w:ascii="Arial" w:hAnsi="Arial" w:cs="Arial"/>
          <w:i/>
          <w:sz w:val="20"/>
          <w:szCs w:val="20"/>
          <w:lang w:val="en"/>
        </w:rPr>
      </w:pPr>
      <w:r w:rsidRPr="00501E14">
        <w:rPr>
          <w:rFonts w:ascii="Arial" w:hAnsi="Arial" w:cs="Arial"/>
          <w:i/>
          <w:sz w:val="20"/>
          <w:szCs w:val="20"/>
          <w:lang w:val="en"/>
        </w:rPr>
        <w:t>“The fast growth we’re seeing in the electric vehicle market is exactly what we need for energy storage in power systems around the world. We want to see batteries connected to the grid, serving mini-grids, and enabling much more use of renewable power from the sun and wind</w:t>
      </w:r>
      <w:r w:rsidRPr="00501E14">
        <w:rPr>
          <w:rFonts w:ascii="Arial" w:hAnsi="Arial" w:cs="Arial"/>
          <w:sz w:val="20"/>
          <w:szCs w:val="20"/>
          <w:lang w:val="en"/>
        </w:rPr>
        <w:t xml:space="preserve">,” said </w:t>
      </w:r>
      <w:r w:rsidRPr="00501E14">
        <w:rPr>
          <w:rFonts w:ascii="Arial" w:hAnsi="Arial" w:cs="Arial"/>
          <w:b/>
          <w:sz w:val="20"/>
          <w:szCs w:val="20"/>
          <w:lang w:val="en"/>
        </w:rPr>
        <w:t>Riccardo Puliti</w:t>
      </w:r>
      <w:r w:rsidRPr="00501E14">
        <w:rPr>
          <w:rFonts w:ascii="Arial" w:hAnsi="Arial" w:cs="Arial"/>
          <w:sz w:val="20"/>
          <w:szCs w:val="20"/>
          <w:lang w:val="en"/>
        </w:rPr>
        <w:t xml:space="preserve">, Senior Director for Energy and Extractives, World Bank. </w:t>
      </w:r>
      <w:r w:rsidRPr="00501E14">
        <w:rPr>
          <w:rFonts w:ascii="Arial" w:hAnsi="Arial" w:cs="Arial"/>
          <w:i/>
          <w:sz w:val="20"/>
          <w:szCs w:val="20"/>
          <w:lang w:val="en"/>
        </w:rPr>
        <w:t>“This is why we are convening the Energy Storage Partnership and we are honored to work with the partners who have joined this initiative. We’re looking forward to having more partners join the effort.”</w:t>
      </w:r>
    </w:p>
    <w:p w14:paraId="19885AFE" w14:textId="77777777" w:rsidR="00501E14" w:rsidRPr="00501E14" w:rsidRDefault="00501E14" w:rsidP="00501E14">
      <w:pPr>
        <w:spacing w:after="0"/>
        <w:rPr>
          <w:rFonts w:ascii="Arial" w:hAnsi="Arial" w:cs="Arial"/>
          <w:i/>
          <w:sz w:val="20"/>
          <w:szCs w:val="20"/>
          <w:lang w:val="en"/>
        </w:rPr>
      </w:pPr>
    </w:p>
    <w:p w14:paraId="1F178C01" w14:textId="74283EBE" w:rsidR="00501E14" w:rsidRDefault="00501E14" w:rsidP="003D1FE3">
      <w:pPr>
        <w:spacing w:after="0"/>
        <w:rPr>
          <w:rFonts w:ascii="Arial" w:hAnsi="Arial" w:cs="Arial"/>
          <w:i/>
          <w:iCs/>
          <w:sz w:val="20"/>
          <w:szCs w:val="20"/>
        </w:rPr>
      </w:pPr>
      <w:r w:rsidRPr="00501E14">
        <w:rPr>
          <w:rFonts w:ascii="Arial" w:hAnsi="Arial" w:cs="Arial"/>
          <w:sz w:val="20"/>
          <w:szCs w:val="20"/>
        </w:rPr>
        <w:t>“</w:t>
      </w:r>
      <w:r w:rsidRPr="00501E14">
        <w:rPr>
          <w:rFonts w:ascii="Arial" w:hAnsi="Arial" w:cs="Arial"/>
          <w:i/>
          <w:iCs/>
          <w:sz w:val="20"/>
          <w:szCs w:val="20"/>
        </w:rPr>
        <w:t xml:space="preserve">Mission Innovation was born out of a global commitment to accelerate clean energy innovation, to make clean energy widely affordable and accessible. We recognize that this cannot be done by Mission </w:t>
      </w:r>
      <w:r w:rsidRPr="00501E14">
        <w:rPr>
          <w:rFonts w:ascii="Arial" w:hAnsi="Arial" w:cs="Arial"/>
          <w:i/>
          <w:iCs/>
          <w:sz w:val="20"/>
          <w:szCs w:val="20"/>
        </w:rPr>
        <w:lastRenderedPageBreak/>
        <w:t>Innovation alone and that we need strong partnerships with organizations like the World Bank to be successful,</w:t>
      </w:r>
      <w:r w:rsidRPr="00501E14">
        <w:rPr>
          <w:rFonts w:ascii="Arial" w:hAnsi="Arial" w:cs="Arial"/>
          <w:sz w:val="20"/>
          <w:szCs w:val="20"/>
        </w:rPr>
        <w:t>” sa</w:t>
      </w:r>
      <w:r w:rsidR="003D1FE3">
        <w:rPr>
          <w:rFonts w:ascii="Arial" w:hAnsi="Arial" w:cs="Arial"/>
          <w:sz w:val="20"/>
          <w:szCs w:val="20"/>
        </w:rPr>
        <w:t>i</w:t>
      </w:r>
      <w:r w:rsidRPr="00501E14">
        <w:rPr>
          <w:rFonts w:ascii="Arial" w:hAnsi="Arial" w:cs="Arial"/>
          <w:sz w:val="20"/>
          <w:szCs w:val="20"/>
        </w:rPr>
        <w:t xml:space="preserve">d </w:t>
      </w:r>
      <w:r w:rsidRPr="00AB29C9">
        <w:rPr>
          <w:rFonts w:ascii="Arial" w:hAnsi="Arial" w:cs="Arial"/>
          <w:b/>
          <w:sz w:val="20"/>
          <w:szCs w:val="20"/>
        </w:rPr>
        <w:t xml:space="preserve">Frank Des </w:t>
      </w:r>
      <w:proofErr w:type="spellStart"/>
      <w:r w:rsidRPr="00AB29C9">
        <w:rPr>
          <w:rFonts w:ascii="Arial" w:hAnsi="Arial" w:cs="Arial"/>
          <w:b/>
          <w:sz w:val="20"/>
          <w:szCs w:val="20"/>
        </w:rPr>
        <w:t>Rosiers</w:t>
      </w:r>
      <w:proofErr w:type="spellEnd"/>
      <w:r w:rsidRPr="00501E14">
        <w:rPr>
          <w:rFonts w:ascii="Arial" w:hAnsi="Arial" w:cs="Arial"/>
          <w:sz w:val="20"/>
          <w:szCs w:val="20"/>
        </w:rPr>
        <w:t xml:space="preserve">, Chair of the Mission Innovation Steering Committee. </w:t>
      </w:r>
      <w:r w:rsidRPr="00501E14">
        <w:rPr>
          <w:rFonts w:ascii="Arial" w:hAnsi="Arial" w:cs="Arial"/>
          <w:i/>
          <w:iCs/>
          <w:sz w:val="20"/>
          <w:szCs w:val="20"/>
        </w:rPr>
        <w:t>“This Energy Storage Partnership with the World Bank aligns with a key innovation opportunity that Mission Innovation members have identified through our Smart Grid Innovation Challenge.”</w:t>
      </w:r>
    </w:p>
    <w:p w14:paraId="46FBF2B6" w14:textId="4A9B1B57" w:rsidR="002708BC" w:rsidRDefault="002708BC" w:rsidP="003D1FE3">
      <w:pPr>
        <w:spacing w:after="0"/>
        <w:rPr>
          <w:rFonts w:ascii="Arial" w:hAnsi="Arial" w:cs="Arial"/>
          <w:color w:val="1F497D"/>
          <w:sz w:val="20"/>
          <w:szCs w:val="20"/>
        </w:rPr>
      </w:pPr>
    </w:p>
    <w:p w14:paraId="0E6F4FAB" w14:textId="066C17F7" w:rsidR="002708BC" w:rsidRDefault="002708BC" w:rsidP="002708BC">
      <w:pPr>
        <w:pStyle w:val="PlainText"/>
        <w:rPr>
          <w:rFonts w:ascii="Arial" w:hAnsi="Arial" w:cs="Arial"/>
          <w:sz w:val="20"/>
          <w:szCs w:val="20"/>
        </w:rPr>
      </w:pPr>
      <w:r w:rsidRPr="003D6D64">
        <w:rPr>
          <w:rFonts w:ascii="Arial" w:hAnsi="Arial" w:cs="Arial"/>
          <w:sz w:val="20"/>
          <w:szCs w:val="20"/>
        </w:rPr>
        <w:t>“</w:t>
      </w:r>
      <w:r w:rsidRPr="003D6D64">
        <w:rPr>
          <w:rFonts w:ascii="Arial" w:hAnsi="Arial" w:cs="Arial"/>
          <w:i/>
          <w:sz w:val="20"/>
          <w:szCs w:val="20"/>
        </w:rPr>
        <w:t>Power systems are undergoing rapid change. Policy makers and regulators need to actively identify options to increase the flexibility of power systems in their jurisdictions; this not least to accommodate the integration of increasingly larger shares of intermittent renewable generation and distributed energy resources</w:t>
      </w:r>
      <w:r w:rsidR="00B80150">
        <w:rPr>
          <w:rFonts w:ascii="Arial" w:hAnsi="Arial" w:cs="Arial"/>
          <w:i/>
          <w:sz w:val="20"/>
          <w:szCs w:val="20"/>
        </w:rPr>
        <w:t>,</w:t>
      </w:r>
      <w:r w:rsidR="00B80150">
        <w:rPr>
          <w:rFonts w:ascii="Arial" w:hAnsi="Arial" w:cs="Arial"/>
          <w:sz w:val="20"/>
          <w:szCs w:val="20"/>
        </w:rPr>
        <w:t xml:space="preserve">” </w:t>
      </w:r>
      <w:r w:rsidRPr="003D6D64">
        <w:rPr>
          <w:rFonts w:ascii="Arial" w:hAnsi="Arial" w:cs="Arial"/>
          <w:sz w:val="20"/>
          <w:szCs w:val="20"/>
        </w:rPr>
        <w:t xml:space="preserve">said </w:t>
      </w:r>
      <w:r w:rsidRPr="00B80150">
        <w:rPr>
          <w:rFonts w:ascii="Arial" w:hAnsi="Arial" w:cs="Arial"/>
          <w:b/>
          <w:sz w:val="20"/>
          <w:szCs w:val="20"/>
        </w:rPr>
        <w:t xml:space="preserve">Christian </w:t>
      </w:r>
      <w:proofErr w:type="spellStart"/>
      <w:r w:rsidRPr="00B80150">
        <w:rPr>
          <w:rFonts w:ascii="Arial" w:hAnsi="Arial" w:cs="Arial"/>
          <w:b/>
          <w:sz w:val="20"/>
          <w:szCs w:val="20"/>
        </w:rPr>
        <w:t>Zinglersen</w:t>
      </w:r>
      <w:proofErr w:type="spellEnd"/>
      <w:r w:rsidRPr="003D6D64">
        <w:rPr>
          <w:rFonts w:ascii="Arial" w:hAnsi="Arial" w:cs="Arial"/>
          <w:sz w:val="20"/>
          <w:szCs w:val="20"/>
        </w:rPr>
        <w:t>, Head of Secretariat, Clean Energy Ministerial. “</w:t>
      </w:r>
      <w:r w:rsidRPr="003D6D64">
        <w:rPr>
          <w:rFonts w:ascii="Arial" w:hAnsi="Arial" w:cs="Arial"/>
          <w:i/>
          <w:sz w:val="20"/>
          <w:szCs w:val="20"/>
        </w:rPr>
        <w:t xml:space="preserve">This is the focus of several areas of CEM work where storage is an area of increasing interest amongst CEM governments and other partners. Policy and regulatory design will remain key </w:t>
      </w:r>
      <w:proofErr w:type="gramStart"/>
      <w:r w:rsidRPr="003D6D64">
        <w:rPr>
          <w:rFonts w:ascii="Arial" w:hAnsi="Arial" w:cs="Arial"/>
          <w:i/>
          <w:sz w:val="20"/>
          <w:szCs w:val="20"/>
        </w:rPr>
        <w:t>in order for</w:t>
      </w:r>
      <w:proofErr w:type="gramEnd"/>
      <w:r w:rsidRPr="003D6D64">
        <w:rPr>
          <w:rFonts w:ascii="Arial" w:hAnsi="Arial" w:cs="Arial"/>
          <w:i/>
          <w:sz w:val="20"/>
          <w:szCs w:val="20"/>
        </w:rPr>
        <w:t xml:space="preserve"> storage</w:t>
      </w:r>
      <w:r w:rsidR="003D6D64">
        <w:rPr>
          <w:rFonts w:ascii="Arial" w:hAnsi="Arial" w:cs="Arial"/>
          <w:i/>
          <w:sz w:val="20"/>
          <w:szCs w:val="20"/>
        </w:rPr>
        <w:t>-</w:t>
      </w:r>
      <w:r w:rsidRPr="003D6D64">
        <w:rPr>
          <w:rFonts w:ascii="Arial" w:hAnsi="Arial" w:cs="Arial"/>
          <w:i/>
          <w:sz w:val="20"/>
          <w:szCs w:val="20"/>
        </w:rPr>
        <w:t>based solutions to contribute cost efficiently to the needs of a changing power mix. Hence, partnerships such as this targeting real-world, deployable solutions are very valuable</w:t>
      </w:r>
      <w:r w:rsidRPr="003D6D64">
        <w:rPr>
          <w:rFonts w:ascii="Arial" w:hAnsi="Arial" w:cs="Arial"/>
          <w:sz w:val="20"/>
          <w:szCs w:val="20"/>
        </w:rPr>
        <w:t>.”</w:t>
      </w:r>
    </w:p>
    <w:p w14:paraId="3B74AFAC" w14:textId="77777777" w:rsidR="002708BC" w:rsidRPr="00501E14" w:rsidRDefault="002708BC" w:rsidP="003D1FE3">
      <w:pPr>
        <w:spacing w:after="0"/>
        <w:rPr>
          <w:rFonts w:ascii="Arial" w:hAnsi="Arial" w:cs="Arial"/>
          <w:color w:val="1F497D"/>
          <w:sz w:val="20"/>
          <w:szCs w:val="20"/>
        </w:rPr>
      </w:pPr>
    </w:p>
    <w:p w14:paraId="1B1F9A27" w14:textId="6CC45B3D" w:rsidR="00501E14" w:rsidRDefault="00501E14" w:rsidP="00B77AC6">
      <w:pPr>
        <w:spacing w:after="0"/>
        <w:rPr>
          <w:rFonts w:ascii="Arial" w:hAnsi="Arial" w:cs="Arial"/>
          <w:color w:val="333333"/>
          <w:sz w:val="20"/>
          <w:szCs w:val="20"/>
          <w:lang w:val="en"/>
        </w:rPr>
      </w:pPr>
      <w:r w:rsidRPr="00501E14">
        <w:rPr>
          <w:rFonts w:ascii="Arial" w:hAnsi="Arial" w:cs="Arial"/>
          <w:sz w:val="20"/>
          <w:szCs w:val="20"/>
        </w:rPr>
        <w:t xml:space="preserve">The ESP will be hosted at the World Bank’s </w:t>
      </w:r>
      <w:hyperlink r:id="rId10" w:history="1">
        <w:r w:rsidRPr="00501E14">
          <w:rPr>
            <w:rStyle w:val="Hyperlink"/>
            <w:rFonts w:ascii="Arial" w:hAnsi="Arial" w:cs="Arial"/>
            <w:sz w:val="20"/>
            <w:szCs w:val="20"/>
          </w:rPr>
          <w:t>Energy Sector Management Assistance Program (ESMAP)</w:t>
        </w:r>
      </w:hyperlink>
      <w:r w:rsidRPr="00501E14">
        <w:rPr>
          <w:rFonts w:ascii="Arial" w:hAnsi="Arial" w:cs="Arial"/>
          <w:sz w:val="20"/>
          <w:szCs w:val="20"/>
        </w:rPr>
        <w:t xml:space="preserve"> and will be developed and implemented in partnership with other organizations. </w:t>
      </w:r>
      <w:r w:rsidRPr="00501E14">
        <w:rPr>
          <w:rFonts w:ascii="Arial" w:hAnsi="Arial" w:cs="Arial"/>
          <w:sz w:val="20"/>
          <w:szCs w:val="20"/>
          <w:lang w:val="en"/>
        </w:rPr>
        <w:t xml:space="preserve">The ESP will complement the WBG’s </w:t>
      </w:r>
      <w:hyperlink r:id="rId11" w:history="1">
        <w:r w:rsidRPr="00501E14">
          <w:rPr>
            <w:rStyle w:val="Hyperlink"/>
            <w:rFonts w:ascii="Arial" w:hAnsi="Arial" w:cs="Arial"/>
            <w:sz w:val="20"/>
            <w:szCs w:val="20"/>
            <w:lang w:val="en"/>
          </w:rPr>
          <w:t xml:space="preserve"> $1 billion battery storage investment program</w:t>
        </w:r>
      </w:hyperlink>
      <w:r w:rsidRPr="00501E14">
        <w:rPr>
          <w:rFonts w:ascii="Arial" w:hAnsi="Arial" w:cs="Arial"/>
          <w:color w:val="333333"/>
          <w:sz w:val="20"/>
          <w:szCs w:val="20"/>
          <w:lang w:val="en"/>
        </w:rPr>
        <w:t xml:space="preserve"> announced in September 2018 to significantly scale up support to battery storage projects and raise an additional $1 billion in concessional finance. </w:t>
      </w:r>
    </w:p>
    <w:p w14:paraId="43ED2E91" w14:textId="7B34311D" w:rsidR="003D6D64" w:rsidRDefault="003D6D64" w:rsidP="00B77AC6">
      <w:pPr>
        <w:pBdr>
          <w:bottom w:val="dotted" w:sz="24" w:space="1" w:color="auto"/>
        </w:pBdr>
        <w:spacing w:after="0"/>
        <w:rPr>
          <w:rFonts w:ascii="Arial" w:hAnsi="Arial" w:cs="Arial"/>
          <w:color w:val="333333"/>
          <w:sz w:val="20"/>
          <w:szCs w:val="20"/>
          <w:lang w:val="en"/>
        </w:rPr>
      </w:pPr>
    </w:p>
    <w:p w14:paraId="21F92EEF" w14:textId="77777777" w:rsidR="003F3B7C" w:rsidRDefault="003F3B7C" w:rsidP="004D1E45">
      <w:pPr>
        <w:spacing w:after="0"/>
        <w:jc w:val="center"/>
        <w:rPr>
          <w:noProof/>
        </w:rPr>
      </w:pPr>
    </w:p>
    <w:p w14:paraId="0C2CE231" w14:textId="585DCFC9" w:rsidR="003F3B7C" w:rsidRDefault="003F3B7C" w:rsidP="004D1E45">
      <w:pPr>
        <w:spacing w:after="0"/>
        <w:jc w:val="center"/>
        <w:rPr>
          <w:rFonts w:ascii="Arial" w:hAnsi="Arial" w:cs="Arial"/>
          <w:b/>
          <w:color w:val="333333"/>
          <w:sz w:val="20"/>
          <w:szCs w:val="20"/>
          <w:lang w:val="en"/>
        </w:rPr>
      </w:pPr>
      <w:bookmarkStart w:id="0" w:name="_GoBack"/>
      <w:bookmarkEnd w:id="0"/>
      <w:r>
        <w:rPr>
          <w:noProof/>
        </w:rPr>
        <w:drawing>
          <wp:inline distT="0" distB="0" distL="0" distR="0" wp14:anchorId="4BB72299" wp14:editId="4AE7B009">
            <wp:extent cx="5943600" cy="2837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837815"/>
                    </a:xfrm>
                    <a:prstGeom prst="rect">
                      <a:avLst/>
                    </a:prstGeom>
                  </pic:spPr>
                </pic:pic>
              </a:graphicData>
            </a:graphic>
          </wp:inline>
        </w:drawing>
      </w:r>
    </w:p>
    <w:p w14:paraId="398A84FD" w14:textId="77777777" w:rsidR="003F3B7C" w:rsidRPr="004D1E45" w:rsidRDefault="003F3B7C" w:rsidP="004D1E45">
      <w:pPr>
        <w:spacing w:after="0"/>
        <w:jc w:val="center"/>
        <w:rPr>
          <w:rFonts w:ascii="Arial" w:hAnsi="Arial" w:cs="Arial"/>
          <w:b/>
          <w:color w:val="333333"/>
          <w:sz w:val="20"/>
          <w:szCs w:val="20"/>
          <w:lang w:val="en"/>
        </w:rPr>
      </w:pPr>
    </w:p>
    <w:p w14:paraId="4D1276A1" w14:textId="77777777" w:rsidR="003F3B7C" w:rsidRDefault="003F3B7C" w:rsidP="00500D42">
      <w:pPr>
        <w:ind w:left="-630" w:right="-720"/>
        <w:rPr>
          <w:rFonts w:ascii="Arial" w:hAnsi="Arial" w:cs="Arial"/>
          <w:b/>
          <w:sz w:val="20"/>
          <w:szCs w:val="20"/>
        </w:rPr>
      </w:pPr>
    </w:p>
    <w:p w14:paraId="6F780D06" w14:textId="5371BAA7" w:rsidR="00500D42" w:rsidRDefault="00B77AC6" w:rsidP="00500D42">
      <w:pPr>
        <w:ind w:left="-630" w:right="-720"/>
        <w:rPr>
          <w:rFonts w:ascii="Arial" w:hAnsi="Arial" w:cs="Arial"/>
          <w:sz w:val="20"/>
          <w:szCs w:val="20"/>
        </w:rPr>
      </w:pPr>
      <w:r w:rsidRPr="00501E14">
        <w:rPr>
          <w:rFonts w:ascii="Arial" w:hAnsi="Arial" w:cs="Arial"/>
          <w:b/>
          <w:sz w:val="20"/>
          <w:szCs w:val="20"/>
        </w:rPr>
        <w:t>For more information:</w:t>
      </w:r>
      <w:r w:rsidR="003D1FE3">
        <w:rPr>
          <w:rFonts w:ascii="Arial" w:hAnsi="Arial" w:cs="Arial"/>
          <w:b/>
          <w:sz w:val="20"/>
          <w:szCs w:val="20"/>
        </w:rPr>
        <w:t xml:space="preserve"> </w:t>
      </w:r>
      <w:r w:rsidRPr="00501E14">
        <w:rPr>
          <w:rFonts w:ascii="Arial" w:hAnsi="Arial" w:cs="Arial"/>
          <w:sz w:val="20"/>
          <w:szCs w:val="20"/>
        </w:rPr>
        <w:t xml:space="preserve">Heather Worley, </w:t>
      </w:r>
      <w:hyperlink r:id="rId13" w:history="1">
        <w:r w:rsidRPr="00501E14">
          <w:rPr>
            <w:rStyle w:val="Hyperlink"/>
            <w:rFonts w:ascii="Arial" w:hAnsi="Arial" w:cs="Arial"/>
            <w:sz w:val="20"/>
            <w:szCs w:val="20"/>
          </w:rPr>
          <w:t>hworley@worldbank.org</w:t>
        </w:r>
      </w:hyperlink>
      <w:r w:rsidRPr="00501E14">
        <w:rPr>
          <w:rStyle w:val="Hyperlink"/>
          <w:rFonts w:ascii="Arial" w:hAnsi="Arial" w:cs="Arial"/>
          <w:sz w:val="20"/>
          <w:szCs w:val="20"/>
        </w:rPr>
        <w:t xml:space="preserve">; </w:t>
      </w:r>
      <w:r w:rsidRPr="00501E14">
        <w:rPr>
          <w:rFonts w:ascii="Arial" w:hAnsi="Arial" w:cs="Arial"/>
          <w:sz w:val="20"/>
          <w:szCs w:val="20"/>
        </w:rPr>
        <w:t>Fernando De Sisternes,</w:t>
      </w:r>
      <w:r w:rsidR="00500D42">
        <w:rPr>
          <w:rFonts w:ascii="Arial" w:hAnsi="Arial" w:cs="Arial"/>
          <w:sz w:val="20"/>
          <w:szCs w:val="20"/>
        </w:rPr>
        <w:t xml:space="preserve"> </w:t>
      </w:r>
      <w:hyperlink r:id="rId14" w:history="1">
        <w:r w:rsidR="003D1FE3" w:rsidRPr="008F2792">
          <w:rPr>
            <w:rStyle w:val="Hyperlink"/>
            <w:rFonts w:ascii="Arial" w:hAnsi="Arial" w:cs="Arial"/>
            <w:sz w:val="20"/>
            <w:szCs w:val="20"/>
            <w:lang w:val="en"/>
          </w:rPr>
          <w:t>fsisternes@worldbank.org</w:t>
        </w:r>
      </w:hyperlink>
    </w:p>
    <w:p w14:paraId="64C49E48" w14:textId="54F6AD08" w:rsidR="00B77AC6" w:rsidRPr="00E15890" w:rsidRDefault="00B77AC6" w:rsidP="00500D42">
      <w:pPr>
        <w:ind w:left="-630" w:right="-720"/>
        <w:rPr>
          <w:rFonts w:ascii="Arial" w:hAnsi="Arial" w:cs="Arial"/>
          <w:color w:val="000000"/>
          <w:sz w:val="20"/>
          <w:szCs w:val="20"/>
        </w:rPr>
      </w:pPr>
      <w:r>
        <w:rPr>
          <w:rFonts w:ascii="Arial" w:hAnsi="Arial" w:cs="Arial"/>
          <w:b/>
          <w:bCs/>
          <w:color w:val="000000"/>
          <w:sz w:val="20"/>
          <w:szCs w:val="20"/>
        </w:rPr>
        <w:t xml:space="preserve">Media </w:t>
      </w:r>
      <w:r w:rsidRPr="00E15890">
        <w:rPr>
          <w:rFonts w:ascii="Arial" w:hAnsi="Arial" w:cs="Arial"/>
          <w:b/>
          <w:bCs/>
          <w:color w:val="000000"/>
          <w:sz w:val="20"/>
          <w:szCs w:val="20"/>
        </w:rPr>
        <w:t>Contacts:</w:t>
      </w:r>
      <w:r w:rsidRPr="00E15890">
        <w:rPr>
          <w:rFonts w:ascii="Arial" w:hAnsi="Arial" w:cs="Arial"/>
          <w:color w:val="000000"/>
          <w:sz w:val="20"/>
          <w:szCs w:val="20"/>
        </w:rPr>
        <w:t xml:space="preserve"> </w:t>
      </w:r>
      <w:r w:rsidRPr="00E15890">
        <w:rPr>
          <w:rFonts w:ascii="Arial" w:hAnsi="Arial" w:cs="Arial"/>
          <w:i/>
          <w:color w:val="000000"/>
          <w:sz w:val="20"/>
          <w:szCs w:val="20"/>
        </w:rPr>
        <w:t xml:space="preserve">In </w:t>
      </w:r>
      <w:r>
        <w:rPr>
          <w:rFonts w:ascii="Arial" w:hAnsi="Arial" w:cs="Arial"/>
          <w:i/>
          <w:color w:val="000000"/>
          <w:sz w:val="20"/>
          <w:szCs w:val="20"/>
        </w:rPr>
        <w:t>Washington</w:t>
      </w:r>
      <w:r w:rsidRPr="00E15890">
        <w:rPr>
          <w:rFonts w:ascii="Arial" w:hAnsi="Arial" w:cs="Arial"/>
          <w:i/>
          <w:color w:val="000000"/>
          <w:sz w:val="20"/>
          <w:szCs w:val="20"/>
        </w:rPr>
        <w:t>:</w:t>
      </w:r>
      <w:r>
        <w:rPr>
          <w:rFonts w:ascii="Arial" w:hAnsi="Arial" w:cs="Arial"/>
          <w:i/>
          <w:color w:val="000000"/>
          <w:sz w:val="20"/>
          <w:szCs w:val="20"/>
        </w:rPr>
        <w:t xml:space="preserve"> </w:t>
      </w:r>
      <w:r w:rsidRPr="00147A24">
        <w:rPr>
          <w:rFonts w:ascii="Arial" w:hAnsi="Arial" w:cs="Arial"/>
          <w:color w:val="000000"/>
          <w:sz w:val="20"/>
          <w:szCs w:val="20"/>
        </w:rPr>
        <w:t xml:space="preserve">Aarthi Sivaraman, +1 (202) 458-7206, </w:t>
      </w:r>
      <w:hyperlink r:id="rId15" w:history="1">
        <w:r w:rsidRPr="00A60425">
          <w:rPr>
            <w:rStyle w:val="Hyperlink"/>
            <w:rFonts w:ascii="Arial" w:hAnsi="Arial" w:cs="Arial"/>
            <w:sz w:val="20"/>
            <w:szCs w:val="20"/>
          </w:rPr>
          <w:t>asivaraman@worldbank.org</w:t>
        </w:r>
      </w:hyperlink>
    </w:p>
    <w:p w14:paraId="1E20259F" w14:textId="772A4AD8" w:rsidR="00B77AC6" w:rsidRPr="00132DAB" w:rsidRDefault="00B77AC6" w:rsidP="00B77AC6">
      <w:pPr>
        <w:jc w:val="center"/>
        <w:rPr>
          <w:rFonts w:ascii="Arial" w:hAnsi="Arial" w:cs="Arial"/>
          <w:sz w:val="20"/>
          <w:szCs w:val="20"/>
          <w:highlight w:val="yellow"/>
        </w:rPr>
      </w:pPr>
      <w:r>
        <w:rPr>
          <w:rFonts w:ascii="Arial" w:hAnsi="Arial" w:cs="Arial"/>
          <w:iCs/>
          <w:color w:val="000000"/>
          <w:sz w:val="20"/>
          <w:szCs w:val="20"/>
        </w:rPr>
        <w:t>Website</w:t>
      </w:r>
      <w:r w:rsidRPr="00E10BC2">
        <w:rPr>
          <w:rFonts w:ascii="Arial" w:hAnsi="Arial" w:cs="Arial"/>
          <w:iCs/>
          <w:color w:val="000000"/>
          <w:sz w:val="20"/>
          <w:szCs w:val="20"/>
        </w:rPr>
        <w:t xml:space="preserve">: </w:t>
      </w:r>
      <w:hyperlink r:id="rId16" w:history="1">
        <w:r w:rsidRPr="00132DAB">
          <w:rPr>
            <w:rStyle w:val="Hyperlink"/>
            <w:rFonts w:ascii="Arial" w:hAnsi="Arial" w:cs="Arial"/>
            <w:iCs/>
            <w:sz w:val="20"/>
            <w:szCs w:val="20"/>
          </w:rPr>
          <w:t>www.worldbank.org</w:t>
        </w:r>
      </w:hyperlink>
      <w:r w:rsidRPr="00132DAB">
        <w:rPr>
          <w:rFonts w:ascii="Arial" w:hAnsi="Arial" w:cs="Arial"/>
          <w:iCs/>
          <w:color w:val="000000"/>
          <w:sz w:val="20"/>
          <w:szCs w:val="20"/>
        </w:rPr>
        <w:t xml:space="preserve"> </w:t>
      </w:r>
      <w:r w:rsidR="00500D42">
        <w:rPr>
          <w:rFonts w:ascii="Arial" w:hAnsi="Arial" w:cs="Arial"/>
          <w:iCs/>
          <w:color w:val="000000"/>
          <w:sz w:val="20"/>
          <w:szCs w:val="20"/>
        </w:rPr>
        <w:t xml:space="preserve">       </w:t>
      </w:r>
      <w:hyperlink r:id="rId17" w:history="1">
        <w:r w:rsidRPr="00132DAB">
          <w:rPr>
            <w:rStyle w:val="Hyperlink"/>
            <w:rFonts w:ascii="Arial" w:hAnsi="Arial" w:cs="Arial"/>
            <w:sz w:val="20"/>
            <w:szCs w:val="20"/>
          </w:rPr>
          <w:t>https://www.esmap.org/</w:t>
        </w:r>
      </w:hyperlink>
      <w:r w:rsidR="00500D42" w:rsidRPr="004D1E45">
        <w:rPr>
          <w:rStyle w:val="Hyperlink"/>
          <w:rFonts w:ascii="Arial" w:hAnsi="Arial" w:cs="Arial"/>
          <w:sz w:val="20"/>
          <w:szCs w:val="20"/>
          <w:u w:val="none"/>
        </w:rPr>
        <w:t xml:space="preserve">    </w:t>
      </w:r>
      <w:hyperlink r:id="rId18" w:history="1">
        <w:r w:rsidRPr="00132DAB">
          <w:rPr>
            <w:rFonts w:ascii="Arial" w:hAnsi="Arial" w:cs="Arial"/>
            <w:color w:val="0000FF"/>
            <w:sz w:val="20"/>
            <w:szCs w:val="20"/>
            <w:u w:val="single"/>
          </w:rPr>
          <w:t>www.worldbank.org/</w:t>
        </w:r>
      </w:hyperlink>
      <w:r w:rsidRPr="00132DAB">
        <w:rPr>
          <w:rFonts w:ascii="Arial" w:hAnsi="Arial" w:cs="Arial"/>
          <w:color w:val="0000FF"/>
          <w:sz w:val="20"/>
          <w:szCs w:val="20"/>
          <w:u w:val="single"/>
        </w:rPr>
        <w:t>Energy</w:t>
      </w:r>
      <w:r w:rsidRPr="00132DAB">
        <w:rPr>
          <w:rFonts w:ascii="Arial" w:hAnsi="Arial" w:cs="Arial"/>
          <w:sz w:val="20"/>
          <w:szCs w:val="20"/>
        </w:rPr>
        <w:t xml:space="preserve"> </w:t>
      </w:r>
    </w:p>
    <w:p w14:paraId="524FFD2F" w14:textId="77777777" w:rsidR="00B77AC6" w:rsidRPr="00132DAB" w:rsidRDefault="00B77AC6" w:rsidP="00B77AC6">
      <w:pPr>
        <w:jc w:val="center"/>
        <w:rPr>
          <w:rFonts w:ascii="Arial" w:hAnsi="Arial" w:cs="Arial"/>
          <w:iCs/>
          <w:sz w:val="20"/>
          <w:szCs w:val="20"/>
        </w:rPr>
      </w:pPr>
      <w:r w:rsidRPr="00132DAB">
        <w:rPr>
          <w:rFonts w:ascii="Arial" w:hAnsi="Arial" w:cs="Arial"/>
          <w:iCs/>
          <w:color w:val="000000"/>
          <w:sz w:val="20"/>
          <w:szCs w:val="20"/>
        </w:rPr>
        <w:t xml:space="preserve">Facebook: </w:t>
      </w:r>
      <w:hyperlink r:id="rId19" w:history="1">
        <w:r w:rsidRPr="00132DAB">
          <w:rPr>
            <w:rFonts w:ascii="Arial" w:hAnsi="Arial" w:cs="Arial"/>
            <w:iCs/>
            <w:color w:val="0000FF"/>
            <w:sz w:val="20"/>
            <w:szCs w:val="20"/>
            <w:u w:val="single"/>
          </w:rPr>
          <w:t>http://www.facebook.com/worldbank</w:t>
        </w:r>
      </w:hyperlink>
    </w:p>
    <w:p w14:paraId="61B0C54B" w14:textId="5D46E827" w:rsidR="00B77AC6" w:rsidRPr="00132DAB" w:rsidRDefault="00B77AC6" w:rsidP="00B77AC6">
      <w:pPr>
        <w:spacing w:after="0"/>
        <w:jc w:val="center"/>
        <w:rPr>
          <w:rFonts w:ascii="Arial" w:hAnsi="Arial" w:cs="Arial"/>
          <w:sz w:val="20"/>
          <w:szCs w:val="20"/>
        </w:rPr>
      </w:pPr>
      <w:r w:rsidRPr="00132DAB">
        <w:rPr>
          <w:rFonts w:ascii="Arial" w:hAnsi="Arial" w:cs="Arial"/>
          <w:iCs/>
          <w:color w:val="000000"/>
          <w:sz w:val="20"/>
          <w:szCs w:val="20"/>
        </w:rPr>
        <w:t xml:space="preserve">Twitter: </w:t>
      </w:r>
      <w:hyperlink r:id="rId20" w:history="1">
        <w:r w:rsidRPr="00132DAB">
          <w:rPr>
            <w:rStyle w:val="Hyperlink"/>
            <w:rFonts w:ascii="Arial" w:hAnsi="Arial" w:cs="Arial"/>
            <w:sz w:val="20"/>
            <w:szCs w:val="20"/>
          </w:rPr>
          <w:t>@WBG_Energy</w:t>
        </w:r>
      </w:hyperlink>
    </w:p>
    <w:p w14:paraId="173A0F06" w14:textId="77777777" w:rsidR="004D1E45" w:rsidRDefault="00B77AC6" w:rsidP="004D1E45">
      <w:pPr>
        <w:jc w:val="center"/>
        <w:rPr>
          <w:rFonts w:ascii="Arial" w:hAnsi="Arial" w:cs="Arial"/>
          <w:iCs/>
          <w:color w:val="0000FF"/>
          <w:sz w:val="20"/>
          <w:szCs w:val="20"/>
          <w:u w:val="single"/>
        </w:rPr>
      </w:pPr>
      <w:r w:rsidRPr="00132DAB">
        <w:rPr>
          <w:rFonts w:ascii="Arial" w:hAnsi="Arial" w:cs="Arial"/>
          <w:iCs/>
          <w:color w:val="000000"/>
          <w:sz w:val="20"/>
          <w:szCs w:val="20"/>
        </w:rPr>
        <w:t xml:space="preserve">YouTube: </w:t>
      </w:r>
      <w:r w:rsidRPr="00132DAB">
        <w:rPr>
          <w:rFonts w:ascii="Arial" w:hAnsi="Arial" w:cs="Arial"/>
          <w:iCs/>
          <w:color w:val="0000FF"/>
          <w:sz w:val="20"/>
          <w:szCs w:val="20"/>
          <w:u w:val="single"/>
        </w:rPr>
        <w:t>http://</w:t>
      </w:r>
      <w:hyperlink r:id="rId21" w:history="1">
        <w:r w:rsidRPr="00132DAB">
          <w:rPr>
            <w:rFonts w:ascii="Arial" w:hAnsi="Arial" w:cs="Arial"/>
            <w:iCs/>
            <w:color w:val="0000FF"/>
            <w:sz w:val="20"/>
            <w:szCs w:val="20"/>
            <w:u w:val="single"/>
          </w:rPr>
          <w:t>www.youtube.com/worldbank</w:t>
        </w:r>
      </w:hyperlink>
    </w:p>
    <w:p w14:paraId="23F19999" w14:textId="17684C0B" w:rsidR="00B77AC6" w:rsidRPr="004D1E45" w:rsidRDefault="004D1E45" w:rsidP="004D1E45">
      <w:pPr>
        <w:ind w:left="-630"/>
        <w:rPr>
          <w:rFonts w:ascii="Arial" w:hAnsi="Arial" w:cs="Arial"/>
          <w:iCs/>
          <w:color w:val="0000FF"/>
          <w:sz w:val="20"/>
          <w:szCs w:val="20"/>
          <w:u w:val="single"/>
        </w:rPr>
      </w:pPr>
      <w:r>
        <w:rPr>
          <w:rFonts w:ascii="Arial" w:hAnsi="Arial" w:cs="Arial"/>
          <w:b/>
          <w:color w:val="000000"/>
          <w:sz w:val="20"/>
          <w:szCs w:val="20"/>
        </w:rPr>
        <w:t>N</w:t>
      </w:r>
      <w:r w:rsidR="00B77AC6" w:rsidRPr="00F37781">
        <w:rPr>
          <w:rFonts w:ascii="Arial" w:hAnsi="Arial" w:cs="Arial"/>
          <w:b/>
          <w:color w:val="000000"/>
          <w:sz w:val="20"/>
          <w:szCs w:val="20"/>
        </w:rPr>
        <w:t>ews Release</w:t>
      </w:r>
      <w:r>
        <w:rPr>
          <w:rFonts w:ascii="Arial" w:hAnsi="Arial" w:cs="Arial"/>
          <w:b/>
          <w:color w:val="000000"/>
          <w:sz w:val="20"/>
          <w:szCs w:val="20"/>
        </w:rPr>
        <w:t xml:space="preserve">: </w:t>
      </w:r>
      <w:r w:rsidR="00B77AC6" w:rsidRPr="00B82EFA">
        <w:rPr>
          <w:rFonts w:ascii="Arial" w:hAnsi="Arial" w:cs="Arial"/>
          <w:color w:val="000000"/>
          <w:sz w:val="20"/>
          <w:szCs w:val="20"/>
        </w:rPr>
        <w:t>2019/</w:t>
      </w:r>
      <w:r w:rsidR="00FC3E9B">
        <w:rPr>
          <w:rFonts w:ascii="Arial" w:hAnsi="Arial" w:cs="Arial"/>
          <w:color w:val="000000"/>
          <w:sz w:val="20"/>
          <w:szCs w:val="20"/>
        </w:rPr>
        <w:t>184</w:t>
      </w:r>
      <w:r w:rsidR="00B77AC6" w:rsidRPr="00B82EFA">
        <w:rPr>
          <w:rFonts w:ascii="Arial" w:hAnsi="Arial" w:cs="Arial"/>
          <w:color w:val="000000"/>
          <w:sz w:val="20"/>
          <w:szCs w:val="20"/>
        </w:rPr>
        <w:t>/EEX</w:t>
      </w:r>
      <w:r w:rsidR="00B77AC6" w:rsidRPr="00F37781">
        <w:rPr>
          <w:rFonts w:ascii="Arial" w:hAnsi="Arial" w:cs="Arial"/>
          <w:color w:val="000000"/>
          <w:sz w:val="20"/>
          <w:szCs w:val="20"/>
        </w:rPr>
        <w:t xml:space="preserve"> </w:t>
      </w:r>
    </w:p>
    <w:sectPr w:rsidR="00B77AC6" w:rsidRPr="004D1E45" w:rsidSect="00EB5B65">
      <w:headerReference w:type="default" r:id="rId22"/>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FCFC1" w14:textId="77777777" w:rsidR="00B34701" w:rsidRDefault="00B34701">
      <w:pPr>
        <w:spacing w:after="0" w:line="240" w:lineRule="auto"/>
      </w:pPr>
      <w:r>
        <w:separator/>
      </w:r>
    </w:p>
  </w:endnote>
  <w:endnote w:type="continuationSeparator" w:id="0">
    <w:p w14:paraId="2E04A7D6" w14:textId="77777777" w:rsidR="00B34701" w:rsidRDefault="00B34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E0B0A" w14:textId="77777777" w:rsidR="00B34701" w:rsidRDefault="00B34701">
      <w:pPr>
        <w:spacing w:after="0" w:line="240" w:lineRule="auto"/>
      </w:pPr>
      <w:r>
        <w:separator/>
      </w:r>
    </w:p>
  </w:footnote>
  <w:footnote w:type="continuationSeparator" w:id="0">
    <w:p w14:paraId="2EA49EE6" w14:textId="77777777" w:rsidR="00B34701" w:rsidRDefault="00B34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21522" w14:textId="77777777" w:rsidR="0009391E" w:rsidRDefault="00501E14" w:rsidP="00501E14">
    <w:pPr>
      <w:rPr>
        <w:rFonts w:ascii="Arial" w:hAnsi="Arial" w:cs="Arial"/>
        <w:b/>
        <w:sz w:val="20"/>
        <w:szCs w:val="20"/>
      </w:rPr>
    </w:pPr>
    <w:r>
      <w:rPr>
        <w:noProof/>
      </w:rPr>
      <w:drawing>
        <wp:anchor distT="0" distB="0" distL="114300" distR="114300" simplePos="0" relativeHeight="251658240" behindDoc="0" locked="0" layoutInCell="1" allowOverlap="1" wp14:anchorId="777AEA72" wp14:editId="41811AD7">
          <wp:simplePos x="0" y="0"/>
          <wp:positionH relativeFrom="margin">
            <wp:posOffset>4679950</wp:posOffset>
          </wp:positionH>
          <wp:positionV relativeFrom="paragraph">
            <wp:posOffset>-95250</wp:posOffset>
          </wp:positionV>
          <wp:extent cx="1384300" cy="380365"/>
          <wp:effectExtent l="0" t="0" r="6350" b="63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4300" cy="380365"/>
                  </a:xfrm>
                  <a:prstGeom prst="rect">
                    <a:avLst/>
                  </a:prstGeom>
                </pic:spPr>
              </pic:pic>
            </a:graphicData>
          </a:graphic>
          <wp14:sizeRelH relativeFrom="margin">
            <wp14:pctWidth>0</wp14:pctWidth>
          </wp14:sizeRelH>
          <wp14:sizeRelV relativeFrom="margin">
            <wp14:pctHeight>0</wp14:pctHeight>
          </wp14:sizeRelV>
        </wp:anchor>
      </w:drawing>
    </w:r>
    <w:r w:rsidRPr="00625A4D">
      <w:rPr>
        <w:rFonts w:ascii="Verdana" w:hAnsi="Verdana"/>
        <w:noProof/>
        <w:color w:val="FF0000"/>
        <w:sz w:val="32"/>
        <w:szCs w:val="32"/>
        <w:lang w:eastAsia="ja-JP"/>
      </w:rPr>
      <w:drawing>
        <wp:anchor distT="0" distB="0" distL="114300" distR="114300" simplePos="0" relativeHeight="251657216" behindDoc="0" locked="0" layoutInCell="1" allowOverlap="1" wp14:anchorId="10EF74AA" wp14:editId="4D5B46F8">
          <wp:simplePos x="0" y="0"/>
          <wp:positionH relativeFrom="margin">
            <wp:posOffset>-520700</wp:posOffset>
          </wp:positionH>
          <wp:positionV relativeFrom="paragraph">
            <wp:posOffset>-177800</wp:posOffset>
          </wp:positionV>
          <wp:extent cx="2476500" cy="4826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76500" cy="482600"/>
                  </a:xfrm>
                  <a:prstGeom prst="rect">
                    <a:avLst/>
                  </a:prstGeom>
                </pic:spPr>
              </pic:pic>
            </a:graphicData>
          </a:graphic>
          <wp14:sizeRelH relativeFrom="margin">
            <wp14:pctWidth>0</wp14:pctWidth>
          </wp14:sizeRelH>
          <wp14:sizeRelV relativeFrom="margin">
            <wp14:pctHeight>0</wp14:pctHeight>
          </wp14:sizeRelV>
        </wp:anchor>
      </w:drawing>
    </w:r>
  </w:p>
  <w:p w14:paraId="48216B67" w14:textId="77777777" w:rsidR="0009391E" w:rsidRPr="00625A4D" w:rsidRDefault="00501E14" w:rsidP="00501E14">
    <w:pPr>
      <w:rPr>
        <w:rFonts w:ascii="Verdana" w:hAnsi="Verdana" w:cs="Arial"/>
        <w:b/>
        <w:color w:val="FF0000"/>
        <w:sz w:val="32"/>
        <w:szCs w:val="32"/>
      </w:rPr>
    </w:pPr>
    <w:r>
      <w:rPr>
        <w:rFonts w:ascii="Arial" w:hAnsi="Arial" w:cs="Arial"/>
        <w:b/>
        <w:noProof/>
        <w:sz w:val="20"/>
        <w:szCs w:val="20"/>
        <w:lang w:eastAsia="ja-JP"/>
      </w:rPr>
      <mc:AlternateContent>
        <mc:Choice Requires="wps">
          <w:drawing>
            <wp:anchor distT="0" distB="0" distL="114300" distR="114300" simplePos="0" relativeHeight="251656192" behindDoc="0" locked="0" layoutInCell="1" allowOverlap="1" wp14:anchorId="41BE6E30" wp14:editId="4195F5F6">
              <wp:simplePos x="0" y="0"/>
              <wp:positionH relativeFrom="margin">
                <wp:align>center</wp:align>
              </wp:positionH>
              <wp:positionV relativeFrom="paragraph">
                <wp:posOffset>447675</wp:posOffset>
              </wp:positionV>
              <wp:extent cx="711517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13173" id="_x0000_t32" coordsize="21600,21600" o:spt="32" o:oned="t" path="m,l21600,21600e" filled="f">
              <v:path arrowok="t" fillok="f" o:connecttype="none"/>
              <o:lock v:ext="edit" shapetype="t"/>
            </v:shapetype>
            <v:shape id="AutoShape 2" o:spid="_x0000_s1026" type="#_x0000_t32" style="position:absolute;margin-left:0;margin-top:35.25pt;width:560.25pt;height:0;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36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">
              <w10:wrap anchorx="margin"/>
            </v:shape>
          </w:pict>
        </mc:Fallback>
      </mc:AlternateContent>
    </w:r>
    <w:r w:rsidR="0009391E" w:rsidRPr="00625A4D">
      <w:rPr>
        <w:rFonts w:ascii="Verdana" w:hAnsi="Verdana" w:cs="Arial"/>
        <w:b/>
        <w:sz w:val="32"/>
        <w:szCs w:val="32"/>
      </w:rPr>
      <w:t>NEWS RELEASE</w:t>
    </w:r>
  </w:p>
  <w:p w14:paraId="45223525" w14:textId="77777777" w:rsidR="007F48BE" w:rsidRDefault="007F48BE" w:rsidP="00501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D27EA"/>
    <w:multiLevelType w:val="multilevel"/>
    <w:tmpl w:val="688D27EA"/>
    <w:lvl w:ilvl="0">
      <w:start w:val="1"/>
      <w:numFmt w:val="bullet"/>
      <w:lvlText w:val=""/>
      <w:lvlJc w:val="left"/>
      <w:pPr>
        <w:ind w:left="1440" w:hanging="72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1FA"/>
    <w:rsid w:val="00027A7A"/>
    <w:rsid w:val="00040054"/>
    <w:rsid w:val="000540AE"/>
    <w:rsid w:val="00073BD4"/>
    <w:rsid w:val="0009391E"/>
    <w:rsid w:val="000A2045"/>
    <w:rsid w:val="000F5CC2"/>
    <w:rsid w:val="000F6032"/>
    <w:rsid w:val="00132DAB"/>
    <w:rsid w:val="00170A10"/>
    <w:rsid w:val="00184349"/>
    <w:rsid w:val="00193C20"/>
    <w:rsid w:val="001B4273"/>
    <w:rsid w:val="001C25B3"/>
    <w:rsid w:val="001F5E95"/>
    <w:rsid w:val="0021128B"/>
    <w:rsid w:val="00221C6D"/>
    <w:rsid w:val="00236713"/>
    <w:rsid w:val="00267EE3"/>
    <w:rsid w:val="002708BC"/>
    <w:rsid w:val="002B3DE8"/>
    <w:rsid w:val="0037114B"/>
    <w:rsid w:val="003A146E"/>
    <w:rsid w:val="003D1FE3"/>
    <w:rsid w:val="003D6D64"/>
    <w:rsid w:val="003F3A6A"/>
    <w:rsid w:val="003F3B7C"/>
    <w:rsid w:val="004B5149"/>
    <w:rsid w:val="004B7F55"/>
    <w:rsid w:val="004C4ADD"/>
    <w:rsid w:val="004D1E45"/>
    <w:rsid w:val="004E5910"/>
    <w:rsid w:val="004F54DE"/>
    <w:rsid w:val="00500D42"/>
    <w:rsid w:val="00501066"/>
    <w:rsid w:val="00501E14"/>
    <w:rsid w:val="00502938"/>
    <w:rsid w:val="00515EF3"/>
    <w:rsid w:val="00534A5C"/>
    <w:rsid w:val="00587271"/>
    <w:rsid w:val="00615B3B"/>
    <w:rsid w:val="00630A1A"/>
    <w:rsid w:val="006541FA"/>
    <w:rsid w:val="00696F7B"/>
    <w:rsid w:val="006C5708"/>
    <w:rsid w:val="0070422E"/>
    <w:rsid w:val="007351A0"/>
    <w:rsid w:val="00772FBB"/>
    <w:rsid w:val="00791EE7"/>
    <w:rsid w:val="007A0005"/>
    <w:rsid w:val="007E64E7"/>
    <w:rsid w:val="007F48BE"/>
    <w:rsid w:val="00830CFB"/>
    <w:rsid w:val="008334F0"/>
    <w:rsid w:val="00845CEE"/>
    <w:rsid w:val="008655FB"/>
    <w:rsid w:val="0087553D"/>
    <w:rsid w:val="00875BD1"/>
    <w:rsid w:val="008D1ABD"/>
    <w:rsid w:val="008E052A"/>
    <w:rsid w:val="008F3C66"/>
    <w:rsid w:val="00923A9E"/>
    <w:rsid w:val="009431BA"/>
    <w:rsid w:val="009B6079"/>
    <w:rsid w:val="009D40F1"/>
    <w:rsid w:val="00A242B7"/>
    <w:rsid w:val="00AA6A00"/>
    <w:rsid w:val="00AB29C9"/>
    <w:rsid w:val="00AC2CA3"/>
    <w:rsid w:val="00AE0C6D"/>
    <w:rsid w:val="00AF096D"/>
    <w:rsid w:val="00B335E6"/>
    <w:rsid w:val="00B34701"/>
    <w:rsid w:val="00B56723"/>
    <w:rsid w:val="00B648E8"/>
    <w:rsid w:val="00B77AC6"/>
    <w:rsid w:val="00B80150"/>
    <w:rsid w:val="00C0058E"/>
    <w:rsid w:val="00C40FB6"/>
    <w:rsid w:val="00CB34FC"/>
    <w:rsid w:val="00D00BA0"/>
    <w:rsid w:val="00D27C01"/>
    <w:rsid w:val="00D3507E"/>
    <w:rsid w:val="00D5723F"/>
    <w:rsid w:val="00D724D3"/>
    <w:rsid w:val="00D75E7E"/>
    <w:rsid w:val="00DA1BB1"/>
    <w:rsid w:val="00DA74BC"/>
    <w:rsid w:val="00DB21B5"/>
    <w:rsid w:val="00DC2870"/>
    <w:rsid w:val="00DC4B49"/>
    <w:rsid w:val="00DC6ABF"/>
    <w:rsid w:val="00DD055D"/>
    <w:rsid w:val="00E079BF"/>
    <w:rsid w:val="00E27F1C"/>
    <w:rsid w:val="00E33174"/>
    <w:rsid w:val="00E45D78"/>
    <w:rsid w:val="00E72631"/>
    <w:rsid w:val="00EB4669"/>
    <w:rsid w:val="00EB5B65"/>
    <w:rsid w:val="00EE1CEA"/>
    <w:rsid w:val="00F05D51"/>
    <w:rsid w:val="00F214C1"/>
    <w:rsid w:val="00F559B3"/>
    <w:rsid w:val="00FC0CB4"/>
    <w:rsid w:val="00FC3E9B"/>
    <w:rsid w:val="5DF1518A"/>
    <w:rsid w:val="7BC56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109C5FF"/>
  <w15:docId w15:val="{89852528-5FE0-4F97-BDEF-F5FD57BC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2">
    <w:name w:val="heading 2"/>
    <w:basedOn w:val="Normal"/>
    <w:next w:val="Normal"/>
    <w:link w:val="Heading2Char"/>
    <w:uiPriority w:val="9"/>
    <w:unhideWhenUsed/>
    <w:qFormat/>
    <w:pPr>
      <w:keepNext/>
      <w:keepLines/>
      <w:shd w:val="pct10" w:color="auto" w:fill="auto"/>
      <w:spacing w:before="40" w:after="0"/>
      <w:outlineLvl w:val="1"/>
    </w:pPr>
    <w:rPr>
      <w:rFonts w:ascii="Calibri" w:eastAsiaTheme="majorEastAsia" w:hAnsi="Calibri" w:cstheme="majorBidi"/>
      <w:caps/>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NormalWeb">
    <w:name w:val="Normal (Web)"/>
    <w:basedOn w:val="Normal"/>
    <w:uiPriority w:val="99"/>
    <w:unhideWhenUsed/>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semiHidden/>
    <w:unhideWhenUsed/>
    <w:qFormat/>
    <w:rPr>
      <w:vertAlign w:val="superscript"/>
    </w:rPr>
  </w:style>
  <w:style w:type="paragraph" w:styleId="NoSpacing">
    <w:name w:val="No Spacing"/>
    <w:link w:val="NoSpacingChar"/>
    <w:uiPriority w:val="1"/>
    <w:qFormat/>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Pr>
      <w:rFonts w:eastAsiaTheme="minorEastAsia"/>
    </w:rPr>
  </w:style>
  <w:style w:type="character" w:customStyle="1" w:styleId="CommentTextChar">
    <w:name w:val="Comment Text Char"/>
    <w:basedOn w:val="DefaultParagraphFont"/>
    <w:link w:val="CommentText"/>
    <w:uiPriority w:val="99"/>
    <w:rPr>
      <w:sz w:val="20"/>
      <w:szCs w:val="20"/>
    </w:rPr>
  </w:style>
  <w:style w:type="character" w:customStyle="1" w:styleId="FootnoteTextChar">
    <w:name w:val="Footnote Text Char"/>
    <w:basedOn w:val="DefaultParagraphFont"/>
    <w:link w:val="FootnoteText"/>
    <w:uiPriority w:val="99"/>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2Char">
    <w:name w:val="Heading 2 Char"/>
    <w:basedOn w:val="DefaultParagraphFont"/>
    <w:link w:val="Heading2"/>
    <w:uiPriority w:val="9"/>
    <w:qFormat/>
    <w:rPr>
      <w:rFonts w:ascii="Calibri" w:eastAsiaTheme="majorEastAsia" w:hAnsi="Calibri" w:cstheme="majorBidi"/>
      <w:caps/>
      <w:color w:val="2F5496" w:themeColor="accent1" w:themeShade="BF"/>
      <w:szCs w:val="26"/>
      <w:shd w:val="pct10" w:color="auto" w:fill="auto"/>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qFormat/>
    <w:rPr>
      <w:b/>
      <w:bCs/>
      <w:sz w:val="20"/>
      <w:szCs w:val="20"/>
    </w:rPr>
  </w:style>
  <w:style w:type="character" w:styleId="UnresolvedMention">
    <w:name w:val="Unresolved Mention"/>
    <w:basedOn w:val="DefaultParagraphFont"/>
    <w:uiPriority w:val="99"/>
    <w:semiHidden/>
    <w:unhideWhenUsed/>
    <w:rsid w:val="003D1FE3"/>
    <w:rPr>
      <w:color w:val="605E5C"/>
      <w:shd w:val="clear" w:color="auto" w:fill="E1DFDD"/>
    </w:rPr>
  </w:style>
  <w:style w:type="paragraph" w:styleId="PlainText">
    <w:name w:val="Plain Text"/>
    <w:basedOn w:val="Normal"/>
    <w:link w:val="PlainTextChar"/>
    <w:uiPriority w:val="99"/>
    <w:semiHidden/>
    <w:unhideWhenUsed/>
    <w:rsid w:val="002708B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708BC"/>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90534">
      <w:bodyDiv w:val="1"/>
      <w:marLeft w:val="0"/>
      <w:marRight w:val="0"/>
      <w:marTop w:val="0"/>
      <w:marBottom w:val="0"/>
      <w:divBdr>
        <w:top w:val="none" w:sz="0" w:space="0" w:color="auto"/>
        <w:left w:val="none" w:sz="0" w:space="0" w:color="auto"/>
        <w:bottom w:val="none" w:sz="0" w:space="0" w:color="auto"/>
        <w:right w:val="none" w:sz="0" w:space="0" w:color="auto"/>
      </w:divBdr>
    </w:div>
    <w:div w:id="2016952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worley@worldbank.org" TargetMode="External"/><Relationship Id="rId18" Type="http://schemas.openxmlformats.org/officeDocument/2006/relationships/hyperlink" Target="http://www.worldbank.org/" TargetMode="External"/><Relationship Id="rId3" Type="http://schemas.openxmlformats.org/officeDocument/2006/relationships/numbering" Target="numbering.xml"/><Relationship Id="rId21" Type="http://schemas.openxmlformats.org/officeDocument/2006/relationships/hyperlink" Target="http://www.youtube.com/worldbank"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esmap.org/" TargetMode="External"/><Relationship Id="rId2" Type="http://schemas.openxmlformats.org/officeDocument/2006/relationships/customXml" Target="../customXml/item2.xml"/><Relationship Id="rId16" Type="http://schemas.openxmlformats.org/officeDocument/2006/relationships/hyperlink" Target="http://www.worldbank.org" TargetMode="External"/><Relationship Id="rId20" Type="http://schemas.openxmlformats.org/officeDocument/2006/relationships/hyperlink" Target="https://twitter.com/WBG_Ener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rldbank.org/en/news/press-release/2018/09/26/world-bank-group-commits-1-billion-for-battery-storage-to-ramp-up-renewable-energy-globall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asivaraman@worldbank.org" TargetMode="External"/><Relationship Id="rId23" Type="http://schemas.openxmlformats.org/officeDocument/2006/relationships/fontTable" Target="fontTable.xml"/><Relationship Id="rId10" Type="http://schemas.openxmlformats.org/officeDocument/2006/relationships/hyperlink" Target="http://www.esmap.org/" TargetMode="External"/><Relationship Id="rId19" Type="http://schemas.openxmlformats.org/officeDocument/2006/relationships/hyperlink" Target="http://www.facebook.com/worldbank" TargetMode="External"/><Relationship Id="rId4" Type="http://schemas.openxmlformats.org/officeDocument/2006/relationships/styles" Target="styles.xml"/><Relationship Id="rId9" Type="http://schemas.openxmlformats.org/officeDocument/2006/relationships/hyperlink" Target="https://www.worldbank.org/en/topic/energy/brief/battery-storage-program-brief" TargetMode="External"/><Relationship Id="rId14" Type="http://schemas.openxmlformats.org/officeDocument/2006/relationships/hyperlink" Target="mailto:fsisternes@worldbank.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7C253-0471-4B2D-A2CD-7D85F64F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B. Worley</dc:creator>
  <cp:lastModifiedBy>Aarthi Sivaraman</cp:lastModifiedBy>
  <cp:revision>5</cp:revision>
  <cp:lastPrinted>2019-05-24T19:04:00Z</cp:lastPrinted>
  <dcterms:created xsi:type="dcterms:W3CDTF">2019-05-28T01:26:00Z</dcterms:created>
  <dcterms:modified xsi:type="dcterms:W3CDTF">2019-05-28T13:19:00Z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